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0B" w:rsidRPr="00BB5CE9" w:rsidRDefault="00BB5CE9">
      <w:pPr>
        <w:rPr>
          <w:b/>
          <w:sz w:val="40"/>
          <w:szCs w:val="40"/>
          <w:u w:val="single"/>
        </w:rPr>
      </w:pPr>
      <w:proofErr w:type="gramStart"/>
      <w:r w:rsidRPr="00BB5CE9">
        <w:rPr>
          <w:b/>
          <w:sz w:val="40"/>
          <w:szCs w:val="40"/>
          <w:u w:val="single"/>
        </w:rPr>
        <w:t>Bubwith</w:t>
      </w:r>
      <w:r w:rsidR="00164D55">
        <w:rPr>
          <w:b/>
          <w:sz w:val="40"/>
          <w:szCs w:val="40"/>
          <w:u w:val="single"/>
        </w:rPr>
        <w:t>, All Saints.</w:t>
      </w:r>
      <w:proofErr w:type="gramEnd"/>
    </w:p>
    <w:p w:rsidR="00164D55" w:rsidRPr="008F1928" w:rsidRDefault="00164D55">
      <w:pPr>
        <w:rPr>
          <w:b/>
          <w:sz w:val="24"/>
          <w:szCs w:val="24"/>
        </w:rPr>
      </w:pPr>
      <w:proofErr w:type="gramStart"/>
      <w:r w:rsidRPr="008F1928">
        <w:rPr>
          <w:b/>
          <w:sz w:val="24"/>
          <w:szCs w:val="24"/>
        </w:rPr>
        <w:t>5 bells, Tenor 7-3-26 in A.</w:t>
      </w:r>
      <w:proofErr w:type="gramEnd"/>
    </w:p>
    <w:p w:rsidR="0063522F" w:rsidRPr="0063522F" w:rsidRDefault="0063522F">
      <w:pPr>
        <w:rPr>
          <w:b/>
          <w:sz w:val="24"/>
          <w:szCs w:val="24"/>
        </w:rPr>
      </w:pPr>
      <w:r w:rsidRPr="0063522F">
        <w:rPr>
          <w:b/>
          <w:sz w:val="24"/>
          <w:szCs w:val="24"/>
        </w:rPr>
        <w:t>Church History</w:t>
      </w:r>
    </w:p>
    <w:p w:rsidR="00BB5CE9" w:rsidRDefault="00164D55">
      <w:r>
        <w:t xml:space="preserve">The very early history of All Saints is unclear there being no entry in the Domesday </w:t>
      </w:r>
      <w:proofErr w:type="gramStart"/>
      <w:r>
        <w:t>book</w:t>
      </w:r>
      <w:proofErr w:type="gramEnd"/>
      <w:r>
        <w:t>, but there are records of William de Winchester as a canon of York and Rector of Bubwith between 1138 and 1143.  The present church dates to 13</w:t>
      </w:r>
      <w:r w:rsidRPr="00164D55">
        <w:rPr>
          <w:vertAlign w:val="superscript"/>
        </w:rPr>
        <w:t>th</w:t>
      </w:r>
      <w:r>
        <w:t xml:space="preserve"> and 15</w:t>
      </w:r>
      <w:r w:rsidRPr="00164D55">
        <w:rPr>
          <w:vertAlign w:val="superscript"/>
        </w:rPr>
        <w:t>th</w:t>
      </w:r>
      <w:r>
        <w:t xml:space="preserve"> centuries.</w:t>
      </w:r>
    </w:p>
    <w:p w:rsidR="00164D55" w:rsidRDefault="00164D55">
      <w:r w:rsidRPr="00164D55">
        <w:t xml:space="preserve">The tower of the church was built by Nicholas </w:t>
      </w:r>
      <w:proofErr w:type="spellStart"/>
      <w:r w:rsidRPr="00164D55">
        <w:t>Bubwith</w:t>
      </w:r>
      <w:proofErr w:type="spellEnd"/>
      <w:r w:rsidRPr="00164D55">
        <w:t xml:space="preserve">, one of </w:t>
      </w:r>
      <w:proofErr w:type="spellStart"/>
      <w:r w:rsidRPr="00164D55">
        <w:t>Bubwith's</w:t>
      </w:r>
      <w:proofErr w:type="spellEnd"/>
      <w:r w:rsidRPr="00164D55">
        <w:t xml:space="preserve"> famous sons, who became Lord Privy Seal (1405-6),  then successively Bishop of London (1406), Bishop of Salisbury (June 1407), Lord High Treasurer (1407-1408), and Bishop of Baths and Wells (Oct 1407 - until his death in 1424).</w:t>
      </w:r>
    </w:p>
    <w:p w:rsidR="00164D55" w:rsidRDefault="00164D55">
      <w:r>
        <w:t xml:space="preserve">The clock was </w:t>
      </w:r>
      <w:r w:rsidRPr="00164D55">
        <w:t>made by G.J.F. Newey of York</w:t>
      </w:r>
      <w:proofErr w:type="gramStart"/>
      <w:r w:rsidRPr="00164D55">
        <w:t>,  and</w:t>
      </w:r>
      <w:proofErr w:type="gramEnd"/>
      <w:r w:rsidRPr="00164D55">
        <w:t xml:space="preserve"> </w:t>
      </w:r>
      <w:r>
        <w:t>installed in 1910.</w:t>
      </w:r>
    </w:p>
    <w:p w:rsidR="00164D55" w:rsidRDefault="00F0376D">
      <w:r>
        <w:t>There are records of 3 bells until late 19</w:t>
      </w:r>
      <w:r w:rsidRPr="00F0376D">
        <w:rPr>
          <w:vertAlign w:val="superscript"/>
        </w:rPr>
        <w:t>th</w:t>
      </w:r>
      <w:r>
        <w:t xml:space="preserve"> century, one of those bells surviving as the current No. 4.  It was cast by Pack and Chapman in 1779.  The other Pack and Chapman bells were recast by Mears and </w:t>
      </w:r>
      <w:proofErr w:type="spellStart"/>
      <w:r>
        <w:t>Stainbank</w:t>
      </w:r>
      <w:proofErr w:type="spellEnd"/>
      <w:r>
        <w:t xml:space="preserve"> of London in 1909.  From that point the bells were a minor key of B until augmentation by the addition of a fifth bell in 1994.  That bell was cast in 1962 and was hung in S George’s Church, </w:t>
      </w:r>
      <w:proofErr w:type="spellStart"/>
      <w:r>
        <w:t>Swallowbeck</w:t>
      </w:r>
      <w:proofErr w:type="spellEnd"/>
      <w:r>
        <w:t xml:space="preserve">, </w:t>
      </w:r>
      <w:proofErr w:type="gramStart"/>
      <w:r>
        <w:t>Lincoln</w:t>
      </w:r>
      <w:proofErr w:type="gramEnd"/>
      <w:r>
        <w:t xml:space="preserve"> prior to hanging in All Saints Bubwith.</w:t>
      </w:r>
    </w:p>
    <w:p w:rsidR="00F0376D" w:rsidRPr="008F1928" w:rsidRDefault="00F0376D">
      <w:pPr>
        <w:rPr>
          <w:b/>
          <w:sz w:val="24"/>
          <w:szCs w:val="24"/>
        </w:rPr>
      </w:pPr>
      <w:r w:rsidRPr="008F1928">
        <w:rPr>
          <w:b/>
          <w:sz w:val="24"/>
          <w:szCs w:val="24"/>
        </w:rPr>
        <w:t>The bells:</w:t>
      </w:r>
    </w:p>
    <w:p w:rsidR="00F0376D" w:rsidRDefault="00F0376D">
      <w:r>
        <w:t xml:space="preserve">Treble: Pack and Chapman 1779, Recast AD 1909 by Mears and </w:t>
      </w:r>
      <w:proofErr w:type="spellStart"/>
      <w:r>
        <w:t>Stainbank</w:t>
      </w:r>
      <w:proofErr w:type="spellEnd"/>
      <w:r>
        <w:t xml:space="preserve">, London.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985"/>
        <w:gridCol w:w="1134"/>
        <w:gridCol w:w="1006"/>
        <w:gridCol w:w="695"/>
      </w:tblGrid>
      <w:tr w:rsidR="00F0376D" w:rsidTr="0063522F">
        <w:tc>
          <w:tcPr>
            <w:tcW w:w="846" w:type="dxa"/>
          </w:tcPr>
          <w:p w:rsidR="00F0376D" w:rsidRDefault="00F0376D">
            <w:r>
              <w:t>Bell</w:t>
            </w:r>
          </w:p>
        </w:tc>
        <w:tc>
          <w:tcPr>
            <w:tcW w:w="2551" w:type="dxa"/>
          </w:tcPr>
          <w:p w:rsidR="00F0376D" w:rsidRDefault="00752379">
            <w:r>
              <w:t>Original</w:t>
            </w:r>
          </w:p>
        </w:tc>
        <w:tc>
          <w:tcPr>
            <w:tcW w:w="1985" w:type="dxa"/>
          </w:tcPr>
          <w:p w:rsidR="00F0376D" w:rsidRDefault="00752379">
            <w:r>
              <w:t>Current</w:t>
            </w:r>
          </w:p>
        </w:tc>
        <w:tc>
          <w:tcPr>
            <w:tcW w:w="1134" w:type="dxa"/>
          </w:tcPr>
          <w:p w:rsidR="00F0376D" w:rsidRDefault="00752379">
            <w:r>
              <w:t>Diameter in inches</w:t>
            </w:r>
          </w:p>
        </w:tc>
        <w:tc>
          <w:tcPr>
            <w:tcW w:w="1006" w:type="dxa"/>
          </w:tcPr>
          <w:p w:rsidR="00F0376D" w:rsidRDefault="00752379">
            <w:r>
              <w:t>Weight</w:t>
            </w:r>
          </w:p>
        </w:tc>
        <w:tc>
          <w:tcPr>
            <w:tcW w:w="695" w:type="dxa"/>
          </w:tcPr>
          <w:p w:rsidR="00F0376D" w:rsidRDefault="00752379">
            <w:r>
              <w:t>Note</w:t>
            </w:r>
          </w:p>
        </w:tc>
      </w:tr>
      <w:tr w:rsidR="00F0376D" w:rsidTr="0063522F">
        <w:tc>
          <w:tcPr>
            <w:tcW w:w="846" w:type="dxa"/>
          </w:tcPr>
          <w:p w:rsidR="00F0376D" w:rsidRDefault="00F0376D">
            <w:r>
              <w:t>Treble</w:t>
            </w:r>
          </w:p>
        </w:tc>
        <w:tc>
          <w:tcPr>
            <w:tcW w:w="2551" w:type="dxa"/>
          </w:tcPr>
          <w:p w:rsidR="00F0376D" w:rsidRDefault="00752379">
            <w:r>
              <w:t>Pack and Chapman, 1779</w:t>
            </w:r>
          </w:p>
        </w:tc>
        <w:tc>
          <w:tcPr>
            <w:tcW w:w="1985" w:type="dxa"/>
          </w:tcPr>
          <w:p w:rsidR="00F0376D" w:rsidRDefault="00752379">
            <w:r>
              <w:t xml:space="preserve">Mears and </w:t>
            </w:r>
            <w:proofErr w:type="spellStart"/>
            <w:r>
              <w:t>Stainbank</w:t>
            </w:r>
            <w:proofErr w:type="spellEnd"/>
            <w:r>
              <w:t>, 1909</w:t>
            </w:r>
          </w:p>
        </w:tc>
        <w:tc>
          <w:tcPr>
            <w:tcW w:w="1134" w:type="dxa"/>
          </w:tcPr>
          <w:p w:rsidR="00F0376D" w:rsidRDefault="00752379">
            <w:r>
              <w:t xml:space="preserve">27.5 </w:t>
            </w:r>
          </w:p>
        </w:tc>
        <w:tc>
          <w:tcPr>
            <w:tcW w:w="1006" w:type="dxa"/>
          </w:tcPr>
          <w:p w:rsidR="00F0376D" w:rsidRDefault="00752379">
            <w:r>
              <w:t>4-3-6</w:t>
            </w:r>
          </w:p>
        </w:tc>
        <w:tc>
          <w:tcPr>
            <w:tcW w:w="695" w:type="dxa"/>
          </w:tcPr>
          <w:p w:rsidR="00F0376D" w:rsidRDefault="00752379">
            <w:r>
              <w:t>E</w:t>
            </w:r>
          </w:p>
        </w:tc>
      </w:tr>
      <w:tr w:rsidR="00F0376D" w:rsidTr="0063522F">
        <w:tc>
          <w:tcPr>
            <w:tcW w:w="846" w:type="dxa"/>
          </w:tcPr>
          <w:p w:rsidR="00F0376D" w:rsidRDefault="00F0376D">
            <w:r>
              <w:t>2</w:t>
            </w:r>
          </w:p>
        </w:tc>
        <w:tc>
          <w:tcPr>
            <w:tcW w:w="2551" w:type="dxa"/>
          </w:tcPr>
          <w:p w:rsidR="00F0376D" w:rsidRDefault="00F0376D"/>
        </w:tc>
        <w:tc>
          <w:tcPr>
            <w:tcW w:w="1985" w:type="dxa"/>
          </w:tcPr>
          <w:p w:rsidR="00F0376D" w:rsidRDefault="00752379">
            <w:r>
              <w:t xml:space="preserve">Mears and </w:t>
            </w:r>
            <w:proofErr w:type="spellStart"/>
            <w:r>
              <w:t>Stainbank</w:t>
            </w:r>
            <w:proofErr w:type="spellEnd"/>
            <w:r>
              <w:t>, 1909</w:t>
            </w:r>
          </w:p>
        </w:tc>
        <w:tc>
          <w:tcPr>
            <w:tcW w:w="1134" w:type="dxa"/>
          </w:tcPr>
          <w:p w:rsidR="00F0376D" w:rsidRDefault="00752379">
            <w:r>
              <w:t>28.5</w:t>
            </w:r>
          </w:p>
        </w:tc>
        <w:tc>
          <w:tcPr>
            <w:tcW w:w="1006" w:type="dxa"/>
          </w:tcPr>
          <w:p w:rsidR="00F0376D" w:rsidRDefault="00752379">
            <w:r>
              <w:t>4-1-11</w:t>
            </w:r>
          </w:p>
        </w:tc>
        <w:tc>
          <w:tcPr>
            <w:tcW w:w="695" w:type="dxa"/>
          </w:tcPr>
          <w:p w:rsidR="00F0376D" w:rsidRDefault="00752379">
            <w:r>
              <w:t>D</w:t>
            </w:r>
          </w:p>
        </w:tc>
      </w:tr>
      <w:tr w:rsidR="00752379" w:rsidTr="0063522F">
        <w:tc>
          <w:tcPr>
            <w:tcW w:w="846" w:type="dxa"/>
          </w:tcPr>
          <w:p w:rsidR="00752379" w:rsidRDefault="00752379" w:rsidP="00752379">
            <w:r>
              <w:t>3</w:t>
            </w:r>
          </w:p>
        </w:tc>
        <w:tc>
          <w:tcPr>
            <w:tcW w:w="2551" w:type="dxa"/>
          </w:tcPr>
          <w:p w:rsidR="00752379" w:rsidRDefault="00752379" w:rsidP="00752379">
            <w:r>
              <w:t>Pack and Chapman, 1779</w:t>
            </w:r>
          </w:p>
        </w:tc>
        <w:tc>
          <w:tcPr>
            <w:tcW w:w="1985" w:type="dxa"/>
          </w:tcPr>
          <w:p w:rsidR="00752379" w:rsidRDefault="00752379" w:rsidP="00752379">
            <w:r>
              <w:t xml:space="preserve">Mears and </w:t>
            </w:r>
            <w:proofErr w:type="spellStart"/>
            <w:r>
              <w:t>Stainbank</w:t>
            </w:r>
            <w:proofErr w:type="spellEnd"/>
            <w:r>
              <w:t>, 1909</w:t>
            </w:r>
          </w:p>
        </w:tc>
        <w:tc>
          <w:tcPr>
            <w:tcW w:w="1134" w:type="dxa"/>
          </w:tcPr>
          <w:p w:rsidR="00752379" w:rsidRDefault="00752379" w:rsidP="00752379">
            <w:r>
              <w:t xml:space="preserve">30.5 </w:t>
            </w:r>
          </w:p>
        </w:tc>
        <w:tc>
          <w:tcPr>
            <w:tcW w:w="1006" w:type="dxa"/>
          </w:tcPr>
          <w:p w:rsidR="00752379" w:rsidRDefault="00752379" w:rsidP="00752379">
            <w:r>
              <w:t>5-1-11</w:t>
            </w:r>
          </w:p>
        </w:tc>
        <w:tc>
          <w:tcPr>
            <w:tcW w:w="695" w:type="dxa"/>
          </w:tcPr>
          <w:p w:rsidR="00752379" w:rsidRDefault="00752379" w:rsidP="00752379">
            <w:r>
              <w:t>C#</w:t>
            </w:r>
          </w:p>
        </w:tc>
      </w:tr>
      <w:tr w:rsidR="00752379" w:rsidTr="0063522F">
        <w:tc>
          <w:tcPr>
            <w:tcW w:w="846" w:type="dxa"/>
          </w:tcPr>
          <w:p w:rsidR="00752379" w:rsidRDefault="00752379" w:rsidP="00752379">
            <w:r>
              <w:t>4</w:t>
            </w:r>
          </w:p>
        </w:tc>
        <w:tc>
          <w:tcPr>
            <w:tcW w:w="2551" w:type="dxa"/>
          </w:tcPr>
          <w:p w:rsidR="00752379" w:rsidRDefault="00752379" w:rsidP="00752379">
            <w:r>
              <w:t>Pack and Chapman, 1779</w:t>
            </w:r>
          </w:p>
        </w:tc>
        <w:tc>
          <w:tcPr>
            <w:tcW w:w="1985" w:type="dxa"/>
          </w:tcPr>
          <w:p w:rsidR="00752379" w:rsidRDefault="008F1928" w:rsidP="00752379">
            <w:r>
              <w:t>As per original</w:t>
            </w:r>
          </w:p>
        </w:tc>
        <w:tc>
          <w:tcPr>
            <w:tcW w:w="1134" w:type="dxa"/>
          </w:tcPr>
          <w:p w:rsidR="00752379" w:rsidRDefault="00752379" w:rsidP="00752379">
            <w:r>
              <w:t>34</w:t>
            </w:r>
          </w:p>
        </w:tc>
        <w:tc>
          <w:tcPr>
            <w:tcW w:w="1006" w:type="dxa"/>
          </w:tcPr>
          <w:p w:rsidR="00752379" w:rsidRDefault="00752379" w:rsidP="00752379">
            <w:r>
              <w:t>7-2-7</w:t>
            </w:r>
          </w:p>
        </w:tc>
        <w:tc>
          <w:tcPr>
            <w:tcW w:w="695" w:type="dxa"/>
          </w:tcPr>
          <w:p w:rsidR="00752379" w:rsidRDefault="00752379" w:rsidP="00752379">
            <w:r>
              <w:t>B</w:t>
            </w:r>
          </w:p>
        </w:tc>
      </w:tr>
      <w:tr w:rsidR="00752379" w:rsidTr="0063522F">
        <w:tc>
          <w:tcPr>
            <w:tcW w:w="846" w:type="dxa"/>
          </w:tcPr>
          <w:p w:rsidR="00752379" w:rsidRDefault="00752379" w:rsidP="00752379">
            <w:r>
              <w:t>Tenor</w:t>
            </w:r>
          </w:p>
        </w:tc>
        <w:tc>
          <w:tcPr>
            <w:tcW w:w="2551" w:type="dxa"/>
          </w:tcPr>
          <w:p w:rsidR="00752379" w:rsidRDefault="00752379" w:rsidP="00752379">
            <w:r>
              <w:t>John Taylor, Loughborough, 1962</w:t>
            </w:r>
          </w:p>
        </w:tc>
        <w:tc>
          <w:tcPr>
            <w:tcW w:w="1985" w:type="dxa"/>
          </w:tcPr>
          <w:p w:rsidR="00752379" w:rsidRDefault="008F1928" w:rsidP="00752379">
            <w:r>
              <w:t>Moved to All Saints Bubwith in 1994</w:t>
            </w:r>
          </w:p>
        </w:tc>
        <w:tc>
          <w:tcPr>
            <w:tcW w:w="1134" w:type="dxa"/>
          </w:tcPr>
          <w:p w:rsidR="00752379" w:rsidRDefault="00752379" w:rsidP="00752379">
            <w:r>
              <w:t>35.25</w:t>
            </w:r>
          </w:p>
        </w:tc>
        <w:tc>
          <w:tcPr>
            <w:tcW w:w="1006" w:type="dxa"/>
          </w:tcPr>
          <w:p w:rsidR="00752379" w:rsidRDefault="00752379" w:rsidP="00752379">
            <w:r>
              <w:t>7-3-26</w:t>
            </w:r>
          </w:p>
        </w:tc>
        <w:tc>
          <w:tcPr>
            <w:tcW w:w="695" w:type="dxa"/>
          </w:tcPr>
          <w:p w:rsidR="00752379" w:rsidRDefault="00752379" w:rsidP="00752379">
            <w:r>
              <w:t>A</w:t>
            </w:r>
          </w:p>
        </w:tc>
      </w:tr>
    </w:tbl>
    <w:p w:rsidR="00F0376D" w:rsidRDefault="00F0376D"/>
    <w:p w:rsidR="00752379" w:rsidRPr="008F1928" w:rsidRDefault="00752379">
      <w:pPr>
        <w:rPr>
          <w:b/>
          <w:sz w:val="24"/>
          <w:szCs w:val="24"/>
        </w:rPr>
      </w:pPr>
      <w:r w:rsidRPr="008F1928">
        <w:rPr>
          <w:b/>
          <w:sz w:val="24"/>
          <w:szCs w:val="24"/>
        </w:rPr>
        <w:t>The ringers:</w:t>
      </w:r>
    </w:p>
    <w:p w:rsidR="00752379" w:rsidRDefault="00752379">
      <w:r>
        <w:t xml:space="preserve">Mr Chris Brown was well known in </w:t>
      </w:r>
      <w:r w:rsidR="008F1928">
        <w:t>bellringing circles and maintained the bells and clock for many years.  He passed away in recent times.</w:t>
      </w:r>
    </w:p>
    <w:p w:rsidR="008F1928" w:rsidRDefault="008F1928">
      <w:bookmarkStart w:id="0" w:name="_GoBack"/>
      <w:bookmarkEnd w:id="0"/>
      <w:r>
        <w:t>Currently the bells are not rung for service but there is interest in teaching a new band.</w:t>
      </w:r>
    </w:p>
    <w:p w:rsidR="008F1928" w:rsidRPr="008F1928" w:rsidRDefault="008F1928">
      <w:pPr>
        <w:rPr>
          <w:b/>
          <w:sz w:val="24"/>
          <w:szCs w:val="24"/>
        </w:rPr>
      </w:pPr>
      <w:r w:rsidRPr="008F1928">
        <w:rPr>
          <w:b/>
          <w:sz w:val="24"/>
          <w:szCs w:val="24"/>
        </w:rPr>
        <w:t>References:</w:t>
      </w:r>
    </w:p>
    <w:p w:rsidR="008F1928" w:rsidRDefault="0006330B">
      <w:r>
        <w:t xml:space="preserve">1: </w:t>
      </w:r>
      <w:hyperlink r:id="rId5" w:history="1">
        <w:r w:rsidRPr="00E36F2F">
          <w:rPr>
            <w:rStyle w:val="Hyperlink"/>
          </w:rPr>
          <w:t>www.bubwith.net</w:t>
        </w:r>
      </w:hyperlink>
      <w:r w:rsidR="008F1928">
        <w:t>, accessed 31</w:t>
      </w:r>
      <w:r w:rsidR="008F1928" w:rsidRPr="008F1928">
        <w:rPr>
          <w:vertAlign w:val="superscript"/>
        </w:rPr>
        <w:t>st</w:t>
      </w:r>
      <w:r w:rsidR="008F1928">
        <w:t xml:space="preserve"> October 2018.  The website includes an image of the clock and also of the tenor bell.</w:t>
      </w:r>
    </w:p>
    <w:p w:rsidR="008F1928" w:rsidRDefault="0006330B">
      <w:r>
        <w:t xml:space="preserve">2: </w:t>
      </w:r>
      <w:r w:rsidR="008F1928">
        <w:t>Dawson, George; 2009: The Church Bells of Yorkshire, East Riding.</w:t>
      </w:r>
    </w:p>
    <w:p w:rsidR="0006330B" w:rsidRDefault="0006330B">
      <w:r>
        <w:t xml:space="preserve">3 </w:t>
      </w:r>
      <w:r w:rsidR="0063522F">
        <w:t>Askew, Alan; October 2018.</w:t>
      </w:r>
    </w:p>
    <w:sectPr w:rsidR="00063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E9"/>
    <w:rsid w:val="0006330B"/>
    <w:rsid w:val="00146A70"/>
    <w:rsid w:val="00164D55"/>
    <w:rsid w:val="0063522F"/>
    <w:rsid w:val="00736F5D"/>
    <w:rsid w:val="00752379"/>
    <w:rsid w:val="0084415A"/>
    <w:rsid w:val="008F1928"/>
    <w:rsid w:val="00BB5CE9"/>
    <w:rsid w:val="00E865BF"/>
    <w:rsid w:val="00F0376D"/>
    <w:rsid w:val="00F65A0B"/>
    <w:rsid w:val="00FC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19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1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bwi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Church</dc:creator>
  <cp:keywords/>
  <dc:description/>
  <cp:lastModifiedBy>Pierre</cp:lastModifiedBy>
  <cp:revision>3</cp:revision>
  <dcterms:created xsi:type="dcterms:W3CDTF">2018-10-31T18:52:00Z</dcterms:created>
  <dcterms:modified xsi:type="dcterms:W3CDTF">2018-10-31T20:40:00Z</dcterms:modified>
</cp:coreProperties>
</file>